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F" w:rsidRPr="004649BF" w:rsidRDefault="004649BF" w:rsidP="004649BF">
      <w:pPr>
        <w:shd w:val="clear" w:color="auto" w:fill="FFFFFF"/>
        <w:spacing w:after="0" w:line="240" w:lineRule="auto"/>
        <w:jc w:val="center"/>
        <w:outlineLvl w:val="2"/>
        <w:rPr>
          <w:rFonts w:ascii="PT Serif Caption" w:eastAsia="Times New Roman" w:hAnsi="PT Serif Caption" w:cs="Arial"/>
          <w:color w:val="333333"/>
          <w:sz w:val="33"/>
          <w:szCs w:val="33"/>
          <w:lang w:eastAsia="ru-RU"/>
        </w:rPr>
      </w:pPr>
      <w:r w:rsidRPr="004649BF">
        <w:rPr>
          <w:rFonts w:ascii="PT Serif Caption" w:eastAsia="Times New Roman" w:hAnsi="PT Serif Caption" w:cs="Arial"/>
          <w:color w:val="333333"/>
          <w:sz w:val="33"/>
          <w:szCs w:val="33"/>
          <w:lang w:eastAsia="ru-RU"/>
        </w:rPr>
        <w:t xml:space="preserve">Положение о проведении конкурса социальных проектов граждан </w:t>
      </w:r>
      <w:proofErr w:type="gramStart"/>
      <w:r w:rsidRPr="004649BF">
        <w:rPr>
          <w:rFonts w:ascii="PT Serif Caption" w:eastAsia="Times New Roman" w:hAnsi="PT Serif Caption" w:cs="Arial"/>
          <w:color w:val="333333"/>
          <w:sz w:val="33"/>
          <w:szCs w:val="33"/>
          <w:lang w:eastAsia="ru-RU"/>
        </w:rPr>
        <w:t>ДОБРЫЙ</w:t>
      </w:r>
      <w:proofErr w:type="gramEnd"/>
      <w:r w:rsidRPr="004649BF">
        <w:rPr>
          <w:rFonts w:ascii="PT Serif Caption" w:eastAsia="Times New Roman" w:hAnsi="PT Serif Caption" w:cs="Arial"/>
          <w:color w:val="333333"/>
          <w:sz w:val="33"/>
          <w:szCs w:val="33"/>
          <w:lang w:eastAsia="ru-RU"/>
        </w:rPr>
        <w:t xml:space="preserve"> ОГОРОД-2023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Общие положения.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1.1. Конкурс социальных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агроволонтёрских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проектов 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"Добрый огород"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(далее – Конкурс) проводится в период с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 01.03.2023 г. </w:t>
      </w: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по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 31.12.2023 г.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Конкурс направлен на развитие аграрной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самозанятости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, городского садоводства и огородничества, а также на развитие аграрного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волонтёрства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и аграрной благотворительности.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1.2. Организаторами Конкурса являются: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ОМОО «Ассоциация почетных граждан, наставников и талантливой молодежи»;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АНО «Научный центр социально-экономического развития малых городов и сельских поселений».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Конкурс проводится при поддержке членов Общественной палаты Российской Федерации.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1.3. Организационные взносы за участие в Конкурсе не предусмотрены.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1.4. Цели и задачи Конкурса: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выявление и  поддержка авторов наиболее перспективных проектов и других значимых инициатив гражданских активистов, сообще</w:t>
      </w:r>
      <w:proofErr w:type="gram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ств гр</w:t>
      </w:r>
      <w:proofErr w:type="gram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аждан, общественных объединений, социальных предпринимателей,  оказывающих помощь в обеспечении эффективного использования приусадебных и садовых участков одинокими пожилыми гражданами, а также многодетными семьями и семьями, воспитывающими детей с ограниченными возможностями здоровья (далее – Проекты).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1.5. Победителям Конкурса предоставляются мини-гранты[1] на реализацию Проектов.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Мини-гранты предоставляются на реализацию Проектов, осуществляемых в период с </w:t>
      </w:r>
      <w:r w:rsidRPr="004649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01.03.2023 г. </w:t>
      </w: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4649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31.12.2023 г.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осуществление за счет средств мини-грантов расходов, непосредственно не связанных с реализацией Проектов.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расходов, на которые могут быть использованы средства мини-гранта: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приобретение/аренда сельскохозяйственного инвентаря,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приобретение посадочного материала и удобрений,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компенсация транспортных расходов волонтёров,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оплата консультационных услуг, работы экспертов,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расходы на информационное сопровождение Проекта в СМИ и сети Интернет.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</w:t>
      </w:r>
      <w:proofErr w:type="spell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грантовый</w:t>
      </w:r>
      <w:proofErr w:type="spellEnd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фонд Конкурса – 250 000 рублей.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Количество победителей Конкурса, между которыми может быть распределён </w:t>
      </w:r>
      <w:proofErr w:type="spell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грантовый</w:t>
      </w:r>
      <w:proofErr w:type="spellEnd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фонд - не менее 10. 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Максимальная сумма мини-гранта – 25 000 рублей.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мини-гранта определяется Жюри Конкурса и зависит от оценки конкурсной заявки, представленной Участником Конкурса в Оргкомитет Конкурса во исполнение пункта 2.1 данного Положения, а также исходя из результатов исполнения Участником Конкурса Соглашения, предусмотренного пунктом 2.3 данного Положения. 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 Территория проведения Конкурса – Российская Федерация.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lastRenderedPageBreak/>
        <w:t>1.7. Конкурс проводится среди 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физических лиц</w:t>
      </w: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и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 групп граждан[2] (далее – Участники)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2. Условия проведения Конкурса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2.1. Участники Конкурса  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в срок до 15 апреля 2023</w:t>
      </w: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представляют в адрес Оргкомитета по электронной почте </w:t>
      </w:r>
      <w:hyperlink r:id="rId5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glory-gallery@mail.ru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(с пометкой в теме письма – «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конкурс_добрый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огород_2023») конкурсные заявки, включающие в себя: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заявку по форме 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Приложения;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видеообращение Участников Проекта в формате mp4,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avi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продолжительностью не более 3 минут; в видеообращении - основная информация о  Проекте и его участниках;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сканкопии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рекомендательные писем органов региональной власти и местного самоуправления, НКО (рекомендуется, не является обязательным).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2.2. По результатам проверки Оргкомитетом конкурсных материалов на предмет соответствия нормам действующего законодательства, а также -  пункту 2.1 данного Положения все конкурсные материалы публикуются на сайтах </w:t>
      </w:r>
      <w:hyperlink r:id="rId6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www.glory-gallery.ru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, </w:t>
      </w:r>
      <w:hyperlink r:id="rId7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www.dobro-ogorod.ru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и в группе Конкурса в социальных сетях </w:t>
      </w:r>
      <w:hyperlink r:id="rId8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https://vk.com/good_garden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2.4. Каждый  Участник Конкурса вправе представить неограниченное количество заявок, при этом по результатам Конкурса ему может быть предоставлен грант на осуществление только одного Проекта.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В случае если Участник представил на Конкурс несколько Проектов и результаты их оценки позволяют ему претендовать на победу в Конкурсе с двумя и более Проектами, такому Участнику предоставляется возможность выбора Проекта, на осуществление которого может быть предоставлен мини-грант.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3. Порядок определения победителей конкурса.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Победители конкурса определяются решением Жюри.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Оценка Проектов осуществляется по  следующим критериям: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практическая направленность и социальная значимость Проекта;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реализуемость Проекта;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уровень аграрной грамотности и научно обоснованный подход;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логическая связность, соответствие мероприятий проекта его целям, задачам и ожидаемым результатам;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использование эффективных форм и методов садово-огороднических работ;  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  реалистичность бюджета и обоснованность расходов на реализацию Проекта;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масштаб реализации Проекта;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- собственный вклад заявителя, привлекаемых партнёров;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тиражируемость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Проекта;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- информационная открытость, вклад исполнителей Проекта в развитие и популяризацию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агроволонтёрства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. 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По результатам рассмотрения заявок Жюри определяет перечень победителей Конкурса и максимальные суммы мини-грантов, которые могут быть предоставлены каждому из них на реализацию  Проектов.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4.Порядок предоставления мини-грантов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4.1 Оргкомитет публикует на сайтах </w:t>
      </w:r>
      <w:hyperlink r:id="rId9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www.glory-gallery.ru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, </w:t>
      </w:r>
      <w:hyperlink r:id="rId10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www.dobro-ogorod.ru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список победителей Конкурса и информацию о процедуре заключения с победителями Конкурса соглашений о порядке получения и использования мини-грантов для реализации Проектов.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4.2. Оргкомитет перечисляет на счета Победителей Конкурса денежные средства мини-грантов траншами в соответствии с вышеуказанными соглашениями.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4.3. Победители Конкурса в качестве подтверждения целевого использования мини-грантов еженедельно представляют в Оргкомитет документы, а также видео и (или) фотоотчеты о реализации Проектов[3].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Участники Конкурса, представляя вышеуказанные  отчёты в Оргкомитет, дают согласие на использование Оргкомитетом  данных материалов в дальнейшей работе по популяризации </w:t>
      </w:r>
      <w:proofErr w:type="spell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агроволонтёрства</w:t>
      </w:r>
      <w:proofErr w:type="spellEnd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агроблаготворительности</w:t>
      </w:r>
      <w:proofErr w:type="spellEnd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том числе - посредством публикации в СМИ и сети Интернет, без  дополнительного согласования с авторами конкурсных работ и без дополнительной платы, а также дают согласие на  интервью, в том числе по радио, на телевидении, в иных средствах массовой</w:t>
      </w:r>
      <w:proofErr w:type="gramEnd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на использование изображений.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Оргкомитет Конкурса.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</w:t>
      </w:r>
      <w:proofErr w:type="gram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Оргкомитет Конкурса осуществляет организационное обеспечение проведения Конкурса и выполняет задачи по информированию об условиях Конкурса, по приему и представлению конкурсных материалов на рассмотрение Жюри, информированию участников Конкурса о решениях Жюри, по освещению хода и результатов проведения Конкурса в СМИ, по администрированию </w:t>
      </w:r>
      <w:proofErr w:type="spellStart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интернет-ресурса</w:t>
      </w:r>
      <w:proofErr w:type="spellEnd"/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формированию и перечислению призового фонда, получению и анализу фотоотчётов о реализации Проектов.</w:t>
      </w:r>
      <w:proofErr w:type="gramEnd"/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В Оргкомитет Конкурса входят представители организаторов Конкурса.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5.3. Оргкомитет Конкурса расположен по адресу: 347871, Ростовская обл., г. Гуково, ул. Мира, 44. Электронная почта: </w:t>
      </w:r>
      <w:hyperlink r:id="rId11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glory-gallery@mail.ru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Контактные лица: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координатор Проекта Лариса Анатольевна Луценко – 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8 928 161 45 75;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вице-президент Ассоциации Почетных граждан, наставников и талантливой молодежи Зинаида Петровна </w:t>
      </w:r>
      <w:proofErr w:type="spellStart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Болотова</w:t>
      </w:r>
      <w:proofErr w:type="spellEnd"/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– </w:t>
      </w:r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8 928 158 51 41</w:t>
      </w: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5.4. Информация о победителях Конкурса публикуется на сайте </w:t>
      </w:r>
      <w:hyperlink r:id="rId12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www.glory-gallery.com</w:t>
        </w:r>
      </w:hyperlink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и в СМИ.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5.5. Электронные сертификаты, подтверждающие участие в Конкурсе, предоставляются по требованию Участников.</w:t>
      </w: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hyperlink r:id="rId13" w:history="1">
        <w:r w:rsidRPr="004649BF">
          <w:rPr>
            <w:rFonts w:ascii="PT Sans" w:eastAsia="Times New Roman" w:hAnsi="PT Sans" w:cs="Arial"/>
            <w:color w:val="E69419"/>
            <w:sz w:val="24"/>
            <w:szCs w:val="24"/>
            <w:u w:val="single"/>
            <w:lang w:eastAsia="ru-RU"/>
          </w:rPr>
          <w:t>Скачать Приложение - форму заявки</w:t>
        </w:r>
      </w:hyperlink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4649BF">
        <w:rPr>
          <w:rFonts w:ascii="PT Sans" w:eastAsia="Times New Roman" w:hAnsi="PT Sans" w:cs="Arial"/>
          <w:b/>
          <w:bCs/>
          <w:i/>
          <w:iCs/>
          <w:color w:val="333333"/>
          <w:sz w:val="24"/>
          <w:szCs w:val="24"/>
          <w:lang w:eastAsia="ru-RU"/>
        </w:rPr>
        <w:t>[1] В контексте настоящего Положения: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Мини-грант - денежные средства, предоставляемые на конкурсной, безвозмездной и безвозвратной основах на осуществление Проекта или возмещение расходов на реализацию Проекта с обязательным представлением подтверждения целевого использования денежных средств.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[2] В контексте настоящего Положения: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Группа граждан - </w:t>
      </w: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ru-RU"/>
        </w:rPr>
        <w:t>любое объединение граждан</w:t>
      </w: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(в </w:t>
      </w:r>
      <w:proofErr w:type="spellStart"/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т.ч</w:t>
      </w:r>
      <w:proofErr w:type="spellEnd"/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 зарегистрированные и незарегистрированные общественные объединения), имеющих общие цели и интересы, независимо от количества его участников.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proofErr w:type="gramStart"/>
      <w:r w:rsidRPr="004649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Например:</w:t>
      </w: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садоводческие, огороднические и дачные потребительские кооперативы, местные, региональные, межрегиональные, общероссийский общественные объединения, их отделения; редакции СМИ и их молодежные корпункты, редколлегии школьных, студенческих газет, кружки, дворовые сообщества и т.п.</w:t>
      </w:r>
      <w:proofErr w:type="gramEnd"/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4649BF" w:rsidRPr="004649BF" w:rsidRDefault="004649BF" w:rsidP="004649B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bookmarkStart w:id="0" w:name="_ftn2"/>
      <w:bookmarkEnd w:id="0"/>
      <w:r w:rsidRPr="004649BF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[3] </w:t>
      </w:r>
      <w:r w:rsidRPr="004649BF">
        <w:rPr>
          <w:rFonts w:ascii="PT Sans" w:eastAsia="Times New Roman" w:hAnsi="PT Sans" w:cs="Arial"/>
          <w:b/>
          <w:bCs/>
          <w:i/>
          <w:iCs/>
          <w:color w:val="333333"/>
          <w:sz w:val="24"/>
          <w:szCs w:val="24"/>
          <w:lang w:eastAsia="ru-RU"/>
        </w:rPr>
        <w:t>В контексте настоящего положения:</w:t>
      </w:r>
    </w:p>
    <w:p w:rsidR="004649BF" w:rsidRPr="004649BF" w:rsidRDefault="004649BF" w:rsidP="00464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Фотоотчет — документ, в котором получатель мини-гранта подтверждает результаты своей деятельности по Проекту с помощью фотографий и </w:t>
      </w:r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 xml:space="preserve">текстовых комментариев к ним, содержащих информацию о мероприятии, дате и месте его проведения, количестве участников и/или </w:t>
      </w:r>
      <w:proofErr w:type="spellStart"/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благополучателей</w:t>
      </w:r>
      <w:proofErr w:type="spellEnd"/>
      <w:r w:rsidRPr="004649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AF7B2D" w:rsidRDefault="00AF7B2D">
      <w:bookmarkStart w:id="1" w:name="_GoBack"/>
      <w:bookmarkEnd w:id="1"/>
    </w:p>
    <w:sectPr w:rsidR="00AF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B"/>
    <w:rsid w:val="004649BF"/>
    <w:rsid w:val="0056192B"/>
    <w:rsid w:val="00A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able">
    <w:name w:val="textable"/>
    <w:basedOn w:val="a"/>
    <w:rsid w:val="004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49BF"/>
    <w:rPr>
      <w:b/>
      <w:bCs/>
    </w:rPr>
  </w:style>
  <w:style w:type="paragraph" w:styleId="a4">
    <w:name w:val="Normal (Web)"/>
    <w:basedOn w:val="a"/>
    <w:uiPriority w:val="99"/>
    <w:semiHidden/>
    <w:unhideWhenUsed/>
    <w:rsid w:val="004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49BF"/>
    <w:rPr>
      <w:color w:val="0000FF"/>
      <w:u w:val="single"/>
    </w:rPr>
  </w:style>
  <w:style w:type="character" w:styleId="a6">
    <w:name w:val="Emphasis"/>
    <w:basedOn w:val="a0"/>
    <w:uiPriority w:val="20"/>
    <w:qFormat/>
    <w:rsid w:val="004649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able">
    <w:name w:val="textable"/>
    <w:basedOn w:val="a"/>
    <w:rsid w:val="004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49BF"/>
    <w:rPr>
      <w:b/>
      <w:bCs/>
    </w:rPr>
  </w:style>
  <w:style w:type="paragraph" w:styleId="a4">
    <w:name w:val="Normal (Web)"/>
    <w:basedOn w:val="a"/>
    <w:uiPriority w:val="99"/>
    <w:semiHidden/>
    <w:unhideWhenUsed/>
    <w:rsid w:val="004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49BF"/>
    <w:rPr>
      <w:color w:val="0000FF"/>
      <w:u w:val="single"/>
    </w:rPr>
  </w:style>
  <w:style w:type="character" w:styleId="a6">
    <w:name w:val="Emphasis"/>
    <w:basedOn w:val="a0"/>
    <w:uiPriority w:val="20"/>
    <w:qFormat/>
    <w:rsid w:val="00464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13" Type="http://schemas.openxmlformats.org/officeDocument/2006/relationships/hyperlink" Target="https://disk.yandex.ru/i/_Ag_5sOPUFVM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-ogorod.ru/" TargetMode="External"/><Relationship Id="rId12" Type="http://schemas.openxmlformats.org/officeDocument/2006/relationships/hyperlink" Target="http://www.glory-galler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ry-gallery.ru/" TargetMode="External"/><Relationship Id="rId11" Type="http://schemas.openxmlformats.org/officeDocument/2006/relationships/hyperlink" Target="mailto:glory-gallery@mail.ru" TargetMode="External"/><Relationship Id="rId5" Type="http://schemas.openxmlformats.org/officeDocument/2006/relationships/hyperlink" Target="mailto:glory-gallery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bro-o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ry-galle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2023-03-23T05:33:00Z</dcterms:created>
  <dcterms:modified xsi:type="dcterms:W3CDTF">2023-03-23T05:33:00Z</dcterms:modified>
</cp:coreProperties>
</file>