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BC" w:rsidRPr="00CB3136" w:rsidRDefault="00D058BC" w:rsidP="00D058BC">
      <w:pPr>
        <w:tabs>
          <w:tab w:val="left" w:pos="7416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CB3136">
        <w:rPr>
          <w:b/>
          <w:spacing w:val="-1"/>
          <w:sz w:val="28"/>
          <w:szCs w:val="28"/>
        </w:rPr>
        <w:t>Приложение</w:t>
      </w:r>
      <w:r w:rsidRPr="00CB3136">
        <w:rPr>
          <w:spacing w:val="-1"/>
          <w:sz w:val="28"/>
          <w:szCs w:val="28"/>
        </w:rPr>
        <w:t xml:space="preserve">   </w:t>
      </w:r>
    </w:p>
    <w:p w:rsidR="00D058BC" w:rsidRPr="00CB3136" w:rsidRDefault="00D058BC" w:rsidP="00D058BC">
      <w:pPr>
        <w:jc w:val="right"/>
        <w:rPr>
          <w:b/>
          <w:spacing w:val="-1"/>
          <w:sz w:val="28"/>
          <w:szCs w:val="28"/>
        </w:rPr>
      </w:pPr>
      <w:r w:rsidRPr="00CB3136">
        <w:rPr>
          <w:b/>
          <w:spacing w:val="-1"/>
          <w:sz w:val="28"/>
          <w:szCs w:val="28"/>
        </w:rPr>
        <w:t xml:space="preserve"> к постановлению Администрации </w:t>
      </w:r>
    </w:p>
    <w:p w:rsidR="00D058BC" w:rsidRPr="00CB3136" w:rsidRDefault="00D058BC" w:rsidP="00D058BC">
      <w:pPr>
        <w:jc w:val="right"/>
        <w:rPr>
          <w:b/>
          <w:spacing w:val="-1"/>
          <w:sz w:val="28"/>
          <w:szCs w:val="28"/>
        </w:rPr>
      </w:pPr>
      <w:r w:rsidRPr="00CB3136">
        <w:rPr>
          <w:b/>
          <w:spacing w:val="-1"/>
          <w:sz w:val="28"/>
          <w:szCs w:val="28"/>
        </w:rPr>
        <w:t>городского поселения Петра Дубрава</w:t>
      </w:r>
    </w:p>
    <w:p w:rsidR="00D058BC" w:rsidRPr="00CB3136" w:rsidRDefault="00D058BC" w:rsidP="00D058BC">
      <w:pPr>
        <w:jc w:val="right"/>
        <w:rPr>
          <w:b/>
          <w:spacing w:val="-1"/>
          <w:sz w:val="28"/>
          <w:szCs w:val="28"/>
        </w:rPr>
      </w:pPr>
      <w:r w:rsidRPr="00CB3136">
        <w:rPr>
          <w:b/>
          <w:spacing w:val="-1"/>
          <w:sz w:val="28"/>
          <w:szCs w:val="28"/>
        </w:rPr>
        <w:t>№</w:t>
      </w:r>
      <w:r>
        <w:rPr>
          <w:b/>
          <w:spacing w:val="-1"/>
          <w:sz w:val="28"/>
          <w:szCs w:val="28"/>
        </w:rPr>
        <w:t xml:space="preserve"> </w:t>
      </w:r>
      <w:r w:rsidRPr="00CB3136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 </w:t>
      </w:r>
      <w:r w:rsidR="00FF48A1">
        <w:rPr>
          <w:b/>
          <w:spacing w:val="-1"/>
          <w:sz w:val="28"/>
          <w:szCs w:val="28"/>
        </w:rPr>
        <w:t xml:space="preserve">22   </w:t>
      </w:r>
      <w:r w:rsidRPr="00CB3136">
        <w:rPr>
          <w:b/>
          <w:spacing w:val="-1"/>
          <w:sz w:val="28"/>
          <w:szCs w:val="28"/>
        </w:rPr>
        <w:t xml:space="preserve">от </w:t>
      </w:r>
      <w:r w:rsidR="00FF48A1">
        <w:rPr>
          <w:b/>
          <w:spacing w:val="-1"/>
          <w:sz w:val="28"/>
          <w:szCs w:val="28"/>
        </w:rPr>
        <w:t xml:space="preserve"> 31.01.</w:t>
      </w:r>
      <w:r w:rsidRPr="00CB3136">
        <w:rPr>
          <w:b/>
          <w:spacing w:val="-1"/>
          <w:sz w:val="28"/>
          <w:szCs w:val="28"/>
        </w:rPr>
        <w:t>2020</w:t>
      </w:r>
    </w:p>
    <w:p w:rsidR="00D058BC" w:rsidRPr="009621A4" w:rsidRDefault="00D058BC" w:rsidP="00D058BC">
      <w:pPr>
        <w:jc w:val="right"/>
        <w:rPr>
          <w:b/>
          <w:spacing w:val="-1"/>
          <w:sz w:val="20"/>
          <w:szCs w:val="20"/>
        </w:rPr>
      </w:pPr>
    </w:p>
    <w:p w:rsidR="00D058BC" w:rsidRPr="00CB3136" w:rsidRDefault="00D058BC" w:rsidP="00D058BC">
      <w:pPr>
        <w:jc w:val="right"/>
        <w:rPr>
          <w:spacing w:val="-1"/>
          <w:sz w:val="28"/>
          <w:szCs w:val="28"/>
        </w:rPr>
      </w:pPr>
    </w:p>
    <w:p w:rsidR="00D058BC" w:rsidRPr="00CB3136" w:rsidRDefault="00D058BC" w:rsidP="00D058BC">
      <w:pPr>
        <w:pStyle w:val="a3"/>
        <w:rPr>
          <w:bCs w:val="0"/>
          <w:i/>
          <w:sz w:val="28"/>
          <w:szCs w:val="28"/>
          <w:u w:val="single"/>
        </w:rPr>
      </w:pPr>
      <w:r w:rsidRPr="00CB3136">
        <w:rPr>
          <w:bCs w:val="0"/>
          <w:i/>
          <w:sz w:val="28"/>
          <w:szCs w:val="28"/>
          <w:u w:val="single"/>
        </w:rPr>
        <w:t xml:space="preserve">План мероприятий по оздоровлению  муниципальных финансов бюджета </w:t>
      </w:r>
    </w:p>
    <w:p w:rsidR="00D058BC" w:rsidRPr="00CB3136" w:rsidRDefault="00D058BC" w:rsidP="00D058BC">
      <w:pPr>
        <w:pStyle w:val="a3"/>
        <w:rPr>
          <w:bCs w:val="0"/>
          <w:i/>
          <w:sz w:val="28"/>
          <w:szCs w:val="28"/>
          <w:u w:val="single"/>
        </w:rPr>
      </w:pPr>
      <w:r w:rsidRPr="00CB3136">
        <w:rPr>
          <w:bCs w:val="0"/>
          <w:i/>
          <w:sz w:val="28"/>
          <w:szCs w:val="28"/>
          <w:u w:val="single"/>
        </w:rPr>
        <w:t>Городского поселения Петра Дубрава  на 2020-2023годы</w:t>
      </w:r>
    </w:p>
    <w:p w:rsidR="00D058BC" w:rsidRPr="00CB3136" w:rsidRDefault="00D058BC" w:rsidP="00D058BC">
      <w:pPr>
        <w:pStyle w:val="a3"/>
        <w:tabs>
          <w:tab w:val="left" w:pos="9869"/>
        </w:tabs>
        <w:ind w:right="5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tbl>
      <w:tblPr>
        <w:tblW w:w="146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148"/>
        <w:gridCol w:w="2404"/>
        <w:gridCol w:w="147"/>
        <w:gridCol w:w="2410"/>
        <w:gridCol w:w="139"/>
        <w:gridCol w:w="1275"/>
        <w:gridCol w:w="1844"/>
        <w:gridCol w:w="144"/>
        <w:gridCol w:w="1276"/>
        <w:gridCol w:w="1418"/>
        <w:gridCol w:w="50"/>
        <w:gridCol w:w="92"/>
        <w:gridCol w:w="1275"/>
        <w:gridCol w:w="1303"/>
        <w:gridCol w:w="17"/>
        <w:gridCol w:w="13"/>
        <w:gridCol w:w="33"/>
      </w:tblGrid>
      <w:tr w:rsidR="00D058BC" w:rsidRPr="00CB3136" w:rsidTr="00641A87">
        <w:trPr>
          <w:gridAfter w:val="1"/>
          <w:wAfter w:w="33" w:type="dxa"/>
          <w:trHeight w:val="363"/>
        </w:trPr>
        <w:tc>
          <w:tcPr>
            <w:tcW w:w="703" w:type="dxa"/>
            <w:vMerge w:val="restart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№</w:t>
            </w:r>
          </w:p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CB3136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CB3136"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CB3136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vMerge w:val="restart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6" w:type="dxa"/>
            <w:gridSpan w:val="3"/>
            <w:vMerge w:val="restart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Исполнители</w:t>
            </w:r>
          </w:p>
        </w:tc>
        <w:tc>
          <w:tcPr>
            <w:tcW w:w="1275" w:type="dxa"/>
            <w:vMerge w:val="restart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Срок исполнения</w:t>
            </w:r>
          </w:p>
        </w:tc>
        <w:tc>
          <w:tcPr>
            <w:tcW w:w="1844" w:type="dxa"/>
            <w:vMerge w:val="restart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 xml:space="preserve">Целевой </w:t>
            </w:r>
          </w:p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показатель</w:t>
            </w:r>
          </w:p>
        </w:tc>
        <w:tc>
          <w:tcPr>
            <w:tcW w:w="5588" w:type="dxa"/>
            <w:gridSpan w:val="9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 xml:space="preserve">Финансовая оценка, тыс. </w:t>
            </w:r>
            <w:proofErr w:type="spellStart"/>
            <w:r w:rsidRPr="00CB3136">
              <w:rPr>
                <w:b w:val="0"/>
                <w:bCs w:val="0"/>
                <w:sz w:val="28"/>
                <w:szCs w:val="28"/>
              </w:rPr>
              <w:t>руб</w:t>
            </w:r>
            <w:proofErr w:type="spellEnd"/>
          </w:p>
        </w:tc>
      </w:tr>
      <w:tr w:rsidR="00D058BC" w:rsidRPr="00CB3136" w:rsidTr="00641A87">
        <w:trPr>
          <w:gridAfter w:val="1"/>
          <w:wAfter w:w="33" w:type="dxa"/>
          <w:trHeight w:val="450"/>
        </w:trPr>
        <w:tc>
          <w:tcPr>
            <w:tcW w:w="703" w:type="dxa"/>
            <w:vMerge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Merge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2020</w:t>
            </w:r>
          </w:p>
        </w:tc>
        <w:tc>
          <w:tcPr>
            <w:tcW w:w="1468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2021</w:t>
            </w:r>
          </w:p>
        </w:tc>
        <w:tc>
          <w:tcPr>
            <w:tcW w:w="1367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2022</w:t>
            </w:r>
          </w:p>
        </w:tc>
        <w:tc>
          <w:tcPr>
            <w:tcW w:w="1333" w:type="dxa"/>
            <w:gridSpan w:val="3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2023</w:t>
            </w:r>
          </w:p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058BC" w:rsidRPr="00CB3136" w:rsidTr="00641A87">
        <w:trPr>
          <w:gridAfter w:val="3"/>
          <w:wAfter w:w="63" w:type="dxa"/>
          <w:trHeight w:val="70"/>
        </w:trPr>
        <w:tc>
          <w:tcPr>
            <w:tcW w:w="14628" w:type="dxa"/>
            <w:gridSpan w:val="15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Cs w:val="0"/>
                <w:color w:val="000000"/>
                <w:sz w:val="28"/>
                <w:szCs w:val="28"/>
              </w:rPr>
              <w:t>Раздел 1.Меры по увеличение поступлений налоговых и неналоговых доходов</w:t>
            </w:r>
          </w:p>
        </w:tc>
      </w:tr>
      <w:tr w:rsidR="00D058BC" w:rsidRPr="00CB3136" w:rsidTr="00641A87">
        <w:trPr>
          <w:gridAfter w:val="1"/>
          <w:wAfter w:w="33" w:type="dxa"/>
          <w:trHeight w:val="651"/>
        </w:trPr>
        <w:tc>
          <w:tcPr>
            <w:tcW w:w="703" w:type="dxa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1.1.</w:t>
            </w:r>
          </w:p>
        </w:tc>
        <w:tc>
          <w:tcPr>
            <w:tcW w:w="2552" w:type="dxa"/>
            <w:gridSpan w:val="2"/>
          </w:tcPr>
          <w:p w:rsidR="00D058BC" w:rsidRPr="00CB3136" w:rsidRDefault="00D058BC" w:rsidP="00641A87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Обеспечение выполнения показателей по мобилизации налоговых и неналоговых доходов в бюджет городского поселения</w:t>
            </w:r>
          </w:p>
        </w:tc>
        <w:tc>
          <w:tcPr>
            <w:tcW w:w="2557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Администрация поселения</w:t>
            </w:r>
            <w:r w:rsidRPr="00CB3136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Ежегодно до 31 декабря</w:t>
            </w:r>
          </w:p>
        </w:tc>
        <w:tc>
          <w:tcPr>
            <w:tcW w:w="1844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Дополнительное поступление налоговых и неналоговых доходов в бюджет городского поселения (тыс</w:t>
            </w:r>
            <w:proofErr w:type="gramStart"/>
            <w:r w:rsidRPr="00CB3136">
              <w:rPr>
                <w:b w:val="0"/>
                <w:sz w:val="28"/>
                <w:szCs w:val="28"/>
              </w:rPr>
              <w:t>.р</w:t>
            </w:r>
            <w:proofErr w:type="gramEnd"/>
            <w:r w:rsidRPr="00CB3136">
              <w:rPr>
                <w:b w:val="0"/>
                <w:sz w:val="28"/>
                <w:szCs w:val="28"/>
              </w:rPr>
              <w:t>ублей</w:t>
            </w:r>
            <w:r w:rsidRPr="00CB3136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gridSpan w:val="2"/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 10,0</w:t>
            </w:r>
          </w:p>
        </w:tc>
        <w:tc>
          <w:tcPr>
            <w:tcW w:w="1418" w:type="dxa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CB3136">
              <w:rPr>
                <w:sz w:val="28"/>
                <w:szCs w:val="28"/>
              </w:rPr>
              <w:t>менее 10,0</w:t>
            </w:r>
          </w:p>
        </w:tc>
        <w:tc>
          <w:tcPr>
            <w:tcW w:w="1417" w:type="dxa"/>
            <w:gridSpan w:val="3"/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 10,0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  <w:gridSpan w:val="3"/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 10,0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</w:tc>
      </w:tr>
      <w:tr w:rsidR="00D058BC" w:rsidRPr="00CB3136" w:rsidTr="00641A87">
        <w:tc>
          <w:tcPr>
            <w:tcW w:w="703" w:type="dxa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1.2.</w:t>
            </w:r>
          </w:p>
        </w:tc>
        <w:tc>
          <w:tcPr>
            <w:tcW w:w="2552" w:type="dxa"/>
            <w:gridSpan w:val="2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Обеспечение темпа роста налоговых и неналоговых доходов городского </w:t>
            </w:r>
            <w:r w:rsidRPr="00CB3136">
              <w:rPr>
                <w:sz w:val="28"/>
                <w:szCs w:val="28"/>
              </w:rPr>
              <w:lastRenderedPageBreak/>
              <w:t>поселения к уровню предыдущего года</w:t>
            </w:r>
          </w:p>
        </w:tc>
        <w:tc>
          <w:tcPr>
            <w:tcW w:w="2557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lastRenderedPageBreak/>
              <w:t xml:space="preserve">Администрация поселения </w:t>
            </w:r>
          </w:p>
        </w:tc>
        <w:tc>
          <w:tcPr>
            <w:tcW w:w="1414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Ежегодно до 31 декабря</w:t>
            </w:r>
          </w:p>
        </w:tc>
        <w:tc>
          <w:tcPr>
            <w:tcW w:w="1844" w:type="dxa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Отношение фактического объема поступлений налоговых и </w:t>
            </w:r>
            <w:r w:rsidRPr="00CB3136">
              <w:rPr>
                <w:sz w:val="28"/>
                <w:szCs w:val="28"/>
              </w:rPr>
              <w:lastRenderedPageBreak/>
              <w:t>неналоговых доходов в бюджет городского поселения к аналогичному показателю прошлого года %</w:t>
            </w:r>
          </w:p>
        </w:tc>
        <w:tc>
          <w:tcPr>
            <w:tcW w:w="1420" w:type="dxa"/>
            <w:gridSpan w:val="2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r w:rsidRPr="00CB3136">
              <w:rPr>
                <w:sz w:val="28"/>
                <w:szCs w:val="28"/>
              </w:rPr>
              <w:t>менее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101,0</w:t>
            </w:r>
          </w:p>
        </w:tc>
        <w:tc>
          <w:tcPr>
            <w:tcW w:w="1418" w:type="dxa"/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101,0</w:t>
            </w:r>
          </w:p>
        </w:tc>
        <w:tc>
          <w:tcPr>
            <w:tcW w:w="1417" w:type="dxa"/>
            <w:gridSpan w:val="3"/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   101,0</w:t>
            </w:r>
          </w:p>
        </w:tc>
        <w:tc>
          <w:tcPr>
            <w:tcW w:w="1366" w:type="dxa"/>
            <w:gridSpan w:val="4"/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101,0</w:t>
            </w:r>
          </w:p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</w:p>
        </w:tc>
      </w:tr>
      <w:tr w:rsidR="00D058BC" w:rsidRPr="00CB3136" w:rsidTr="00641A87">
        <w:tc>
          <w:tcPr>
            <w:tcW w:w="703" w:type="dxa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52" w:type="dxa"/>
            <w:gridSpan w:val="2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Последовательная работа по идентификации земельных участков и инвентаризации объектов недвижимости, не зарегистрированных в органах, осуществляющих технический учет и государственную регистрацию прав на недвижимость</w:t>
            </w:r>
          </w:p>
        </w:tc>
        <w:tc>
          <w:tcPr>
            <w:tcW w:w="2557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414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В течение года</w:t>
            </w:r>
            <w:r w:rsidRPr="00CB3136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Выявление</w:t>
            </w:r>
          </w:p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не зарегистрированных земельных участков и объектов недвижимост</w:t>
            </w:r>
            <w:proofErr w:type="gramStart"/>
            <w:r w:rsidRPr="00CB3136">
              <w:rPr>
                <w:b w:val="0"/>
                <w:sz w:val="28"/>
                <w:szCs w:val="28"/>
              </w:rPr>
              <w:t>и(</w:t>
            </w:r>
            <w:proofErr w:type="gramEnd"/>
            <w:r w:rsidRPr="00CB3136">
              <w:rPr>
                <w:b w:val="0"/>
                <w:sz w:val="28"/>
                <w:szCs w:val="28"/>
              </w:rPr>
              <w:t xml:space="preserve">да, нет) </w:t>
            </w:r>
          </w:p>
        </w:tc>
        <w:tc>
          <w:tcPr>
            <w:tcW w:w="1420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366" w:type="dxa"/>
            <w:gridSpan w:val="4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058BC" w:rsidRPr="00CB3136" w:rsidTr="00641A87">
        <w:tc>
          <w:tcPr>
            <w:tcW w:w="703" w:type="dxa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t>1.4.</w:t>
            </w:r>
          </w:p>
        </w:tc>
        <w:tc>
          <w:tcPr>
            <w:tcW w:w="2552" w:type="dxa"/>
            <w:gridSpan w:val="2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3136">
              <w:rPr>
                <w:sz w:val="28"/>
                <w:szCs w:val="28"/>
              </w:rPr>
              <w:t xml:space="preserve">роведение мероприятий по внесению в ЕГРН сведений о </w:t>
            </w:r>
            <w:r w:rsidRPr="00CB3136">
              <w:rPr>
                <w:sz w:val="28"/>
                <w:szCs w:val="28"/>
              </w:rPr>
              <w:lastRenderedPageBreak/>
              <w:t>земельных участках и иных объектах недвижимого имущества и их правообладателях</w:t>
            </w:r>
          </w:p>
        </w:tc>
        <w:tc>
          <w:tcPr>
            <w:tcW w:w="2557" w:type="dxa"/>
            <w:gridSpan w:val="2"/>
          </w:tcPr>
          <w:p w:rsidR="00D058BC" w:rsidRPr="00CB3136" w:rsidRDefault="00D058BC" w:rsidP="00641A87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Заместитель Главы поселения</w:t>
            </w:r>
            <w:r w:rsidRPr="00CB313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B3136">
              <w:rPr>
                <w:b w:val="0"/>
                <w:bCs w:val="0"/>
                <w:sz w:val="28"/>
                <w:szCs w:val="28"/>
              </w:rPr>
              <w:t>Чернышов</w:t>
            </w:r>
            <w:proofErr w:type="spellEnd"/>
            <w:r w:rsidRPr="00CB3136">
              <w:rPr>
                <w:b w:val="0"/>
                <w:bCs w:val="0"/>
                <w:sz w:val="28"/>
                <w:szCs w:val="28"/>
              </w:rPr>
              <w:t xml:space="preserve"> Г.В.</w:t>
            </w:r>
          </w:p>
        </w:tc>
        <w:tc>
          <w:tcPr>
            <w:tcW w:w="1414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844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 xml:space="preserve">Внесение сведений о земельных участках и </w:t>
            </w:r>
            <w:r w:rsidRPr="00CB3136">
              <w:rPr>
                <w:b w:val="0"/>
                <w:sz w:val="28"/>
                <w:szCs w:val="28"/>
              </w:rPr>
              <w:lastRenderedPageBreak/>
              <w:t>объектах недвижимости в ЕГРН</w:t>
            </w:r>
          </w:p>
        </w:tc>
        <w:tc>
          <w:tcPr>
            <w:tcW w:w="1420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366" w:type="dxa"/>
            <w:gridSpan w:val="4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CB3136">
              <w:rPr>
                <w:b w:val="0"/>
                <w:sz w:val="28"/>
                <w:szCs w:val="28"/>
              </w:rPr>
              <w:t>а</w:t>
            </w:r>
          </w:p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D058BC" w:rsidRPr="00CB3136" w:rsidTr="00641A87">
        <w:tc>
          <w:tcPr>
            <w:tcW w:w="703" w:type="dxa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552" w:type="dxa"/>
            <w:gridSpan w:val="2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B3136">
              <w:rPr>
                <w:sz w:val="28"/>
                <w:szCs w:val="28"/>
              </w:rPr>
              <w:t>ыявление используемых не по целевому назначению (неиспользуемых) земель сельскохозяйственного назначения или земель в составе зон сельскохозяйственного использования в населенных пунктах и представление соответствующей информации в территориальные налоговые органы;</w:t>
            </w:r>
          </w:p>
        </w:tc>
        <w:tc>
          <w:tcPr>
            <w:tcW w:w="2557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Администрация поселения</w:t>
            </w:r>
            <w:r w:rsidRPr="00CB3136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844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Определение количества земельных участков, используемых не по назначению, шт.</w:t>
            </w:r>
          </w:p>
        </w:tc>
        <w:tc>
          <w:tcPr>
            <w:tcW w:w="1420" w:type="dxa"/>
            <w:gridSpan w:val="2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3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5</w:t>
            </w:r>
          </w:p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1366" w:type="dxa"/>
            <w:gridSpan w:val="4"/>
          </w:tcPr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  <w:r w:rsidRPr="00CB3136">
              <w:rPr>
                <w:b w:val="0"/>
                <w:sz w:val="28"/>
                <w:szCs w:val="28"/>
              </w:rPr>
              <w:t>5</w:t>
            </w:r>
          </w:p>
          <w:p w:rsidR="00D058BC" w:rsidRPr="00CB3136" w:rsidRDefault="00D058BC" w:rsidP="00641A87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D058BC" w:rsidRPr="00CB3136" w:rsidTr="00641A87">
        <w:trPr>
          <w:trHeight w:val="5954"/>
        </w:trPr>
        <w:tc>
          <w:tcPr>
            <w:tcW w:w="703" w:type="dxa"/>
          </w:tcPr>
          <w:p w:rsidR="00D058BC" w:rsidRPr="00CB3136" w:rsidRDefault="00D058BC" w:rsidP="00641A87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B3136">
              <w:rPr>
                <w:b w:val="0"/>
                <w:bCs w:val="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BC" w:rsidRDefault="00D058BC" w:rsidP="00641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CB3136">
              <w:rPr>
                <w:sz w:val="28"/>
                <w:szCs w:val="28"/>
              </w:rPr>
              <w:t>контроля за</w:t>
            </w:r>
            <w:proofErr w:type="gramEnd"/>
            <w:r w:rsidRPr="00CB3136">
              <w:rPr>
                <w:sz w:val="28"/>
                <w:szCs w:val="28"/>
              </w:rPr>
              <w:t xml:space="preserve"> полнотой перечисления в бюджет городского поселения платы за наем жилых помещений муниципального жилищного фонда городского поселения, находящегося в муниципальной собственности поселения</w:t>
            </w:r>
          </w:p>
          <w:p w:rsidR="00D058BC" w:rsidRDefault="00D058BC" w:rsidP="00641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58BC" w:rsidRDefault="00D058BC" w:rsidP="00641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CB3136">
              <w:rPr>
                <w:sz w:val="28"/>
                <w:szCs w:val="28"/>
              </w:rPr>
              <w:t>Жаднова</w:t>
            </w:r>
            <w:proofErr w:type="spellEnd"/>
            <w:r w:rsidRPr="00CB3136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4"/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58BC" w:rsidRPr="00CB3136" w:rsidTr="00641A87">
        <w:trPr>
          <w:gridAfter w:val="3"/>
          <w:wAfter w:w="63" w:type="dxa"/>
        </w:trPr>
        <w:tc>
          <w:tcPr>
            <w:tcW w:w="14628" w:type="dxa"/>
            <w:gridSpan w:val="15"/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B3136">
              <w:rPr>
                <w:b/>
                <w:sz w:val="28"/>
                <w:szCs w:val="28"/>
              </w:rPr>
              <w:t>Раздел 2. Мероприятия по оптимизации расходов бюджета городского поселения Петра Дубрава</w:t>
            </w: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3" w:type="dxa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Соблюдение норматива расходов на содержание органов местного самоуправления, установленного Министерством </w:t>
            </w:r>
            <w:r w:rsidRPr="00CB3136">
              <w:rPr>
                <w:sz w:val="28"/>
                <w:szCs w:val="28"/>
              </w:rPr>
              <w:lastRenderedPageBreak/>
              <w:t>финансов Самарской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lastRenderedPageBreak/>
              <w:t>Главный специалист администрации</w:t>
            </w:r>
          </w:p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Богомолова Т.А.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Ежегодно до 31 декабря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нормативы формирования расходов на содержание органов местного самоуправления </w:t>
            </w:r>
            <w:r w:rsidRPr="00CB3136">
              <w:rPr>
                <w:sz w:val="28"/>
                <w:szCs w:val="28"/>
              </w:rPr>
              <w:lastRenderedPageBreak/>
              <w:t>соблюдены, да/нет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 w:rsidRPr="00CB313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 xml:space="preserve">Мониторинг расходов на оплату коммунальных услуг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CB3136">
              <w:rPr>
                <w:bCs/>
                <w:sz w:val="28"/>
                <w:szCs w:val="28"/>
              </w:rPr>
              <w:t>Жаднова</w:t>
            </w:r>
            <w:proofErr w:type="spellEnd"/>
            <w:r w:rsidRPr="00CB3136">
              <w:rPr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В течени</w:t>
            </w:r>
            <w:proofErr w:type="gramStart"/>
            <w:r w:rsidRPr="00CB3136">
              <w:rPr>
                <w:bCs/>
                <w:sz w:val="28"/>
                <w:szCs w:val="28"/>
              </w:rPr>
              <w:t>и</w:t>
            </w:r>
            <w:proofErr w:type="gramEnd"/>
            <w:r w:rsidRPr="00CB3136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Мероприятия по снижению расходов на коммунальные услуги да/нет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  <w:trHeight w:val="427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Недопущение образования просроченной кредиторской задолженности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Главный специалист администрации</w:t>
            </w:r>
          </w:p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Богомолова Т.А.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В течени</w:t>
            </w:r>
            <w:proofErr w:type="gramStart"/>
            <w:r w:rsidRPr="00CB3136">
              <w:rPr>
                <w:bCs/>
                <w:sz w:val="28"/>
                <w:szCs w:val="28"/>
              </w:rPr>
              <w:t>и</w:t>
            </w:r>
            <w:proofErr w:type="gramEnd"/>
            <w:r w:rsidRPr="00CB3136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сокращение кредиторской задолженности в течени</w:t>
            </w:r>
            <w:proofErr w:type="gramStart"/>
            <w:r w:rsidRPr="00CB3136">
              <w:rPr>
                <w:bCs/>
                <w:sz w:val="28"/>
                <w:szCs w:val="28"/>
              </w:rPr>
              <w:t>и</w:t>
            </w:r>
            <w:proofErr w:type="gramEnd"/>
            <w:r w:rsidRPr="00CB3136">
              <w:rPr>
                <w:bCs/>
                <w:sz w:val="28"/>
                <w:szCs w:val="28"/>
              </w:rPr>
              <w:t xml:space="preserve"> года 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5</w:t>
            </w:r>
          </w:p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5</w:t>
            </w:r>
          </w:p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  <w:trHeight w:val="2461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bCs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Главный специалист администрации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Богомолова Т.А.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ежегодно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сводный годовой доклад о ходе реализации и об оценке эффективности м</w:t>
            </w:r>
            <w:r>
              <w:rPr>
                <w:sz w:val="28"/>
                <w:szCs w:val="28"/>
              </w:rPr>
              <w:t xml:space="preserve">униципальных программ,    </w:t>
            </w:r>
            <w:r w:rsidRPr="00CB3136">
              <w:rPr>
                <w:sz w:val="28"/>
                <w:szCs w:val="28"/>
              </w:rPr>
              <w:t>да/нет</w:t>
            </w:r>
          </w:p>
          <w:p w:rsidR="00D058BC" w:rsidRDefault="00D058BC" w:rsidP="00641A87">
            <w:pPr>
              <w:rPr>
                <w:sz w:val="28"/>
                <w:szCs w:val="28"/>
              </w:rPr>
            </w:pP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Формирование проекта бюджета городского </w:t>
            </w:r>
            <w:r w:rsidRPr="00CB3136">
              <w:rPr>
                <w:sz w:val="28"/>
                <w:szCs w:val="28"/>
              </w:rPr>
              <w:lastRenderedPageBreak/>
              <w:t>поселения на очередной год и плановый период в рамках муниципальных программ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lastRenderedPageBreak/>
              <w:t>Глава поселения и специалисты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ежегодно до 15 ноября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программн</w:t>
            </w:r>
            <w:r w:rsidRPr="00CB3136">
              <w:rPr>
                <w:sz w:val="28"/>
                <w:szCs w:val="28"/>
              </w:rPr>
              <w:t xml:space="preserve">ых расходов </w:t>
            </w:r>
            <w:r w:rsidRPr="00CB3136">
              <w:rPr>
                <w:sz w:val="28"/>
                <w:szCs w:val="28"/>
              </w:rPr>
              <w:lastRenderedPageBreak/>
              <w:t>бюджета городского поселения, 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lastRenderedPageBreak/>
              <w:t>не менее 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 50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 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не менее 50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  <w:trHeight w:val="1932"/>
        </w:trPr>
        <w:tc>
          <w:tcPr>
            <w:tcW w:w="85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2.6</w:t>
            </w:r>
            <w:r w:rsidRPr="00CB31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Оптимизация неэффективных расходов бюджета городского поселения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сводный доклад о результатах оптимизации в отчетном году, да/нет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vanish/>
                <w:sz w:val="28"/>
                <w:szCs w:val="28"/>
              </w:rPr>
            </w:pP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  <w:p w:rsidR="00D058BC" w:rsidRPr="00CB3136" w:rsidRDefault="00D058BC" w:rsidP="00641A87">
            <w:pPr>
              <w:tabs>
                <w:tab w:val="left" w:pos="640"/>
              </w:tabs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ab/>
              <w:t>да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bCs/>
                <w:vanish/>
                <w:sz w:val="28"/>
                <w:szCs w:val="28"/>
              </w:rPr>
            </w:pPr>
            <w:r w:rsidRPr="00CB3136">
              <w:rPr>
                <w:bCs/>
                <w:sz w:val="28"/>
                <w:szCs w:val="28"/>
              </w:rPr>
              <w:t>да</w:t>
            </w: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  <w:r w:rsidRPr="00CB3136">
              <w:rPr>
                <w:color w:val="000000"/>
                <w:sz w:val="28"/>
                <w:szCs w:val="28"/>
              </w:rPr>
              <w:t>.</w:t>
            </w:r>
            <w:r w:rsidRPr="00CB3136">
              <w:rPr>
                <w:vanish/>
                <w:color w:val="000000"/>
                <w:sz w:val="28"/>
                <w:szCs w:val="28"/>
              </w:rPr>
              <w:t>#G0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Администрация поселения</w:t>
            </w:r>
            <w:r>
              <w:rPr>
                <w:sz w:val="28"/>
                <w:szCs w:val="28"/>
              </w:rPr>
              <w:t>,</w:t>
            </w:r>
          </w:p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B3136">
              <w:rPr>
                <w:sz w:val="28"/>
                <w:szCs w:val="28"/>
              </w:rPr>
              <w:t>едущий специалист Арефьева С.А.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Строгое соблюдение ФЗ №44-ФЗ, да/ нет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  <w:r w:rsidRPr="00CB31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 xml:space="preserve">Обоснование стоимости выполнения планируемых </w:t>
            </w:r>
            <w:r w:rsidRPr="00CB3136">
              <w:rPr>
                <w:color w:val="000000"/>
                <w:sz w:val="28"/>
                <w:szCs w:val="28"/>
              </w:rPr>
              <w:lastRenderedPageBreak/>
              <w:t xml:space="preserve">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lastRenderedPageBreak/>
              <w:t>Администрация поселения</w:t>
            </w:r>
            <w:r>
              <w:rPr>
                <w:sz w:val="28"/>
                <w:szCs w:val="28"/>
              </w:rPr>
              <w:t>,</w:t>
            </w:r>
          </w:p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B3136">
              <w:rPr>
                <w:sz w:val="28"/>
                <w:szCs w:val="28"/>
              </w:rPr>
              <w:t xml:space="preserve">едущий специалист </w:t>
            </w:r>
            <w:r w:rsidRPr="00CB3136">
              <w:rPr>
                <w:sz w:val="28"/>
                <w:szCs w:val="28"/>
              </w:rPr>
              <w:lastRenderedPageBreak/>
              <w:t>Арефьева С.А.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Обязательное проведение экспертизы</w:t>
            </w:r>
            <w:r>
              <w:rPr>
                <w:color w:val="000000"/>
                <w:sz w:val="28"/>
                <w:szCs w:val="28"/>
              </w:rPr>
              <w:t xml:space="preserve"> проектно-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сметной документации </w:t>
            </w:r>
            <w:r w:rsidRPr="00CB3136">
              <w:rPr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2.9</w:t>
            </w:r>
            <w:r w:rsidRPr="00CB31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 xml:space="preserve">Осуществление работы по реализации энергосберегающих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Проведение энергосберегающих мероприятий по уличному освещению,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да</w:t>
            </w: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4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Мероприятия по заключению концессионных соглашений</w:t>
            </w:r>
          </w:p>
        </w:tc>
      </w:tr>
      <w:tr w:rsidR="00D058BC" w:rsidRPr="00CB3136" w:rsidTr="00641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4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  <w:r w:rsidRPr="00CB31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 перечня объектов</w:t>
            </w:r>
            <w:r w:rsidRPr="00CB313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3136">
              <w:rPr>
                <w:color w:val="000000"/>
                <w:sz w:val="28"/>
                <w:szCs w:val="28"/>
              </w:rPr>
              <w:t>в отношении которых планируется заключение концессионных соглашени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sz w:val="28"/>
                <w:szCs w:val="28"/>
              </w:rPr>
            </w:pPr>
            <w:r w:rsidRPr="00CB3136">
              <w:rPr>
                <w:sz w:val="28"/>
                <w:szCs w:val="28"/>
              </w:rPr>
              <w:t>Глава поселения, специалисты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Наличие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jc w:val="center"/>
              <w:rPr>
                <w:color w:val="000000"/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  <w:p w:rsidR="00D058BC" w:rsidRPr="00CB3136" w:rsidRDefault="00D058BC" w:rsidP="00641A8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BC" w:rsidRPr="00CB3136" w:rsidRDefault="00D058BC" w:rsidP="00641A87">
            <w:pPr>
              <w:rPr>
                <w:sz w:val="28"/>
                <w:szCs w:val="28"/>
              </w:rPr>
            </w:pPr>
            <w:r w:rsidRPr="00CB3136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D058BC" w:rsidRPr="00CB3136" w:rsidTr="00641A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3"/>
          <w:gridAfter w:val="3"/>
          <w:wBefore w:w="12050" w:type="dxa"/>
          <w:wAfter w:w="63" w:type="dxa"/>
          <w:trHeight w:val="100"/>
        </w:trPr>
        <w:tc>
          <w:tcPr>
            <w:tcW w:w="2578" w:type="dxa"/>
            <w:gridSpan w:val="2"/>
            <w:tcBorders>
              <w:top w:val="single" w:sz="4" w:space="0" w:color="auto"/>
            </w:tcBorders>
          </w:tcPr>
          <w:p w:rsidR="00D058BC" w:rsidRPr="00CB3136" w:rsidRDefault="00D058BC" w:rsidP="00641A8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E3125" w:rsidRDefault="00EE3125"/>
    <w:sectPr w:rsidR="00EE3125" w:rsidSect="00D058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58BC"/>
    <w:rsid w:val="00B70B19"/>
    <w:rsid w:val="00D058BC"/>
    <w:rsid w:val="00EE3125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58B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05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2020-01-31T08:21:00Z</dcterms:created>
  <dcterms:modified xsi:type="dcterms:W3CDTF">2020-02-03T05:08:00Z</dcterms:modified>
</cp:coreProperties>
</file>